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070" w:rsidRDefault="00775AFE">
      <w:pPr>
        <w:pBdr>
          <w:top w:val="nil"/>
          <w:left w:val="nil"/>
          <w:bottom w:val="nil"/>
          <w:right w:val="nil"/>
          <w:between w:val="nil"/>
        </w:pBdr>
        <w:tabs>
          <w:tab w:val="left" w:pos="8273"/>
        </w:tabs>
        <w:rPr>
          <w:rFonts w:ascii="Arial" w:eastAsia="Arial" w:hAnsi="Arial" w:cs="Arial"/>
          <w:color w:val="000000"/>
          <w:sz w:val="22"/>
          <w:szCs w:val="22"/>
        </w:rPr>
      </w:pPr>
      <w:r>
        <w:rPr>
          <w:rFonts w:ascii="Arial" w:eastAsia="Arial" w:hAnsi="Arial" w:cs="Arial"/>
          <w:color w:val="000000"/>
          <w:sz w:val="22"/>
          <w:szCs w:val="22"/>
        </w:rPr>
        <w:tab/>
      </w:r>
      <w:r w:rsidR="007B7EFE">
        <w:rPr>
          <w:noProof/>
        </w:rPr>
        <w:drawing>
          <wp:anchor distT="0" distB="0" distL="0" distR="0" simplePos="0" relativeHeight="251658240" behindDoc="1" locked="0" layoutInCell="1" hidden="0" allowOverlap="1">
            <wp:simplePos x="0" y="0"/>
            <wp:positionH relativeFrom="column">
              <wp:posOffset>-365124</wp:posOffset>
            </wp:positionH>
            <wp:positionV relativeFrom="paragraph">
              <wp:posOffset>-216533</wp:posOffset>
            </wp:positionV>
            <wp:extent cx="4492625" cy="143700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492625" cy="1437005"/>
                    </a:xfrm>
                    <a:prstGeom prst="rect">
                      <a:avLst/>
                    </a:prstGeom>
                    <a:ln/>
                  </pic:spPr>
                </pic:pic>
              </a:graphicData>
            </a:graphic>
            <wp14:sizeRelH relativeFrom="margin">
              <wp14:pctWidth>0</wp14:pctWidth>
            </wp14:sizeRelH>
            <wp14:sizeRelV relativeFrom="margin">
              <wp14:pctHeight>0</wp14:pctHeight>
            </wp14:sizeRelV>
          </wp:anchor>
        </w:drawing>
      </w:r>
    </w:p>
    <w:p w:rsidR="002C7070" w:rsidRDefault="002C7070">
      <w:pPr>
        <w:pBdr>
          <w:top w:val="nil"/>
          <w:left w:val="nil"/>
          <w:bottom w:val="nil"/>
          <w:right w:val="nil"/>
          <w:between w:val="nil"/>
        </w:pBdr>
        <w:rPr>
          <w:rFonts w:ascii="Arial" w:eastAsia="Arial" w:hAnsi="Arial" w:cs="Arial"/>
          <w:color w:val="000000"/>
          <w:sz w:val="22"/>
          <w:szCs w:val="22"/>
        </w:rPr>
      </w:pPr>
    </w:p>
    <w:p w:rsidR="002C7070" w:rsidRDefault="002C7070">
      <w:pPr>
        <w:pBdr>
          <w:top w:val="nil"/>
          <w:left w:val="nil"/>
          <w:bottom w:val="nil"/>
          <w:right w:val="nil"/>
          <w:between w:val="nil"/>
        </w:pBdr>
        <w:rPr>
          <w:rFonts w:ascii="Arial" w:eastAsia="Arial" w:hAnsi="Arial" w:cs="Arial"/>
          <w:color w:val="000000"/>
          <w:sz w:val="22"/>
          <w:szCs w:val="22"/>
        </w:rPr>
      </w:pPr>
    </w:p>
    <w:p w:rsidR="002C7070" w:rsidRDefault="002C7070">
      <w:pPr>
        <w:pBdr>
          <w:top w:val="nil"/>
          <w:left w:val="nil"/>
          <w:bottom w:val="nil"/>
          <w:right w:val="nil"/>
          <w:between w:val="nil"/>
        </w:pBdr>
        <w:rPr>
          <w:rFonts w:ascii="Arial" w:eastAsia="Arial" w:hAnsi="Arial" w:cs="Arial"/>
          <w:color w:val="000000"/>
          <w:sz w:val="22"/>
          <w:szCs w:val="22"/>
        </w:rPr>
      </w:pPr>
    </w:p>
    <w:tbl>
      <w:tblPr>
        <w:tblStyle w:val="a"/>
        <w:tblW w:w="9287" w:type="dxa"/>
        <w:tblInd w:w="0" w:type="dxa"/>
        <w:tblLayout w:type="fixed"/>
        <w:tblLook w:val="0000" w:firstRow="0" w:lastRow="0" w:firstColumn="0" w:lastColumn="0" w:noHBand="0" w:noVBand="0"/>
      </w:tblPr>
      <w:tblGrid>
        <w:gridCol w:w="3494"/>
        <w:gridCol w:w="2850"/>
        <w:gridCol w:w="2943"/>
      </w:tblGrid>
      <w:tr w:rsidR="002C7070">
        <w:tc>
          <w:tcPr>
            <w:tcW w:w="3494" w:type="dxa"/>
            <w:vAlign w:val="center"/>
          </w:tcPr>
          <w:p w:rsidR="002C7070" w:rsidRDefault="002C7070">
            <w:pPr>
              <w:pBdr>
                <w:top w:val="nil"/>
                <w:left w:val="nil"/>
                <w:bottom w:val="nil"/>
                <w:right w:val="nil"/>
                <w:between w:val="nil"/>
              </w:pBdr>
              <w:jc w:val="center"/>
              <w:rPr>
                <w:rFonts w:ascii="Arial" w:eastAsia="Arial" w:hAnsi="Arial" w:cs="Arial"/>
                <w:color w:val="000000"/>
                <w:sz w:val="22"/>
                <w:szCs w:val="22"/>
              </w:rPr>
            </w:pPr>
          </w:p>
        </w:tc>
        <w:tc>
          <w:tcPr>
            <w:tcW w:w="2850" w:type="dxa"/>
            <w:vAlign w:val="center"/>
          </w:tcPr>
          <w:p w:rsidR="002C7070" w:rsidRDefault="002C7070">
            <w:pPr>
              <w:pBdr>
                <w:top w:val="nil"/>
                <w:left w:val="nil"/>
                <w:bottom w:val="nil"/>
                <w:right w:val="nil"/>
                <w:between w:val="nil"/>
              </w:pBdr>
              <w:jc w:val="center"/>
              <w:rPr>
                <w:rFonts w:ascii="Arial" w:eastAsia="Arial" w:hAnsi="Arial" w:cs="Arial"/>
                <w:color w:val="000000"/>
                <w:sz w:val="22"/>
                <w:szCs w:val="22"/>
              </w:rPr>
            </w:pPr>
          </w:p>
        </w:tc>
        <w:tc>
          <w:tcPr>
            <w:tcW w:w="2943" w:type="dxa"/>
            <w:vAlign w:val="center"/>
          </w:tcPr>
          <w:p w:rsidR="002C7070" w:rsidRDefault="002C7070">
            <w:pPr>
              <w:pBdr>
                <w:top w:val="nil"/>
                <w:left w:val="nil"/>
                <w:bottom w:val="nil"/>
                <w:right w:val="nil"/>
                <w:between w:val="nil"/>
              </w:pBdr>
              <w:jc w:val="center"/>
              <w:rPr>
                <w:rFonts w:ascii="Arial" w:eastAsia="Arial" w:hAnsi="Arial" w:cs="Arial"/>
                <w:color w:val="000000"/>
                <w:sz w:val="22"/>
                <w:szCs w:val="22"/>
              </w:rPr>
            </w:pPr>
          </w:p>
        </w:tc>
      </w:tr>
    </w:tbl>
    <w:p w:rsidR="002C7070" w:rsidRDefault="002C7070">
      <w:pPr>
        <w:pBdr>
          <w:top w:val="nil"/>
          <w:left w:val="nil"/>
          <w:bottom w:val="nil"/>
          <w:right w:val="nil"/>
          <w:between w:val="nil"/>
        </w:pBdr>
        <w:rPr>
          <w:rFonts w:ascii="Arial" w:eastAsia="Arial" w:hAnsi="Arial" w:cs="Arial"/>
          <w:color w:val="000000"/>
          <w:sz w:val="22"/>
          <w:szCs w:val="22"/>
        </w:rPr>
      </w:pPr>
    </w:p>
    <w:tbl>
      <w:tblPr>
        <w:tblStyle w:val="a0"/>
        <w:tblW w:w="10980" w:type="dxa"/>
        <w:tblInd w:w="0" w:type="dxa"/>
        <w:tblLayout w:type="fixed"/>
        <w:tblLook w:val="0000" w:firstRow="0" w:lastRow="0" w:firstColumn="0" w:lastColumn="0" w:noHBand="0" w:noVBand="0"/>
      </w:tblPr>
      <w:tblGrid>
        <w:gridCol w:w="1080"/>
        <w:gridCol w:w="2160"/>
        <w:gridCol w:w="1080"/>
        <w:gridCol w:w="1620"/>
        <w:gridCol w:w="1620"/>
        <w:gridCol w:w="3420"/>
      </w:tblGrid>
      <w:tr w:rsidR="00B66472" w:rsidTr="00B66472">
        <w:tc>
          <w:tcPr>
            <w:tcW w:w="1080" w:type="dxa"/>
            <w:vAlign w:val="center"/>
          </w:tcPr>
          <w:p w:rsidR="00B66472" w:rsidRPr="007B7EFE" w:rsidRDefault="00B66472">
            <w:pPr>
              <w:pBdr>
                <w:top w:val="nil"/>
                <w:left w:val="nil"/>
                <w:bottom w:val="nil"/>
                <w:right w:val="nil"/>
                <w:between w:val="nil"/>
              </w:pBdr>
              <w:jc w:val="right"/>
              <w:rPr>
                <w:rFonts w:ascii="Arial" w:eastAsia="Arial" w:hAnsi="Arial" w:cs="Arial"/>
                <w:color w:val="000000"/>
                <w:sz w:val="22"/>
                <w:szCs w:val="22"/>
              </w:rPr>
            </w:pPr>
            <w:r w:rsidRPr="007B7EFE">
              <w:rPr>
                <w:rFonts w:ascii="Arial" w:eastAsia="Arial" w:hAnsi="Arial" w:cs="Arial"/>
                <w:color w:val="000000"/>
                <w:sz w:val="22"/>
                <w:szCs w:val="22"/>
              </w:rPr>
              <w:t>Številka:</w:t>
            </w:r>
          </w:p>
        </w:tc>
        <w:tc>
          <w:tcPr>
            <w:tcW w:w="2160" w:type="dxa"/>
            <w:vAlign w:val="center"/>
          </w:tcPr>
          <w:p w:rsidR="00B66472" w:rsidRPr="007B7EFE" w:rsidRDefault="00B66472">
            <w:pPr>
              <w:pBdr>
                <w:top w:val="nil"/>
                <w:left w:val="nil"/>
                <w:bottom w:val="nil"/>
                <w:right w:val="nil"/>
                <w:between w:val="nil"/>
              </w:pBdr>
              <w:rPr>
                <w:rFonts w:ascii="Arial" w:eastAsia="Arial" w:hAnsi="Arial" w:cs="Arial"/>
                <w:color w:val="000000"/>
                <w:sz w:val="22"/>
                <w:szCs w:val="22"/>
              </w:rPr>
            </w:pPr>
          </w:p>
        </w:tc>
        <w:tc>
          <w:tcPr>
            <w:tcW w:w="1080" w:type="dxa"/>
            <w:vAlign w:val="center"/>
          </w:tcPr>
          <w:p w:rsidR="00B66472" w:rsidRDefault="00B66472">
            <w:pPr>
              <w:pBdr>
                <w:top w:val="nil"/>
                <w:left w:val="nil"/>
                <w:bottom w:val="nil"/>
                <w:right w:val="nil"/>
                <w:between w:val="nil"/>
              </w:pBdr>
              <w:rPr>
                <w:rFonts w:ascii="Arial" w:eastAsia="Arial" w:hAnsi="Arial" w:cs="Arial"/>
                <w:color w:val="000000"/>
                <w:sz w:val="22"/>
                <w:szCs w:val="22"/>
              </w:rPr>
            </w:pPr>
          </w:p>
        </w:tc>
        <w:tc>
          <w:tcPr>
            <w:tcW w:w="1620" w:type="dxa"/>
          </w:tcPr>
          <w:p w:rsidR="00B66472" w:rsidRDefault="00B66472">
            <w:pPr>
              <w:pBdr>
                <w:top w:val="nil"/>
                <w:left w:val="nil"/>
                <w:bottom w:val="nil"/>
                <w:right w:val="nil"/>
                <w:between w:val="nil"/>
              </w:pBdr>
              <w:jc w:val="right"/>
              <w:rPr>
                <w:rFonts w:ascii="Arial" w:eastAsia="Arial" w:hAnsi="Arial" w:cs="Arial"/>
                <w:color w:val="000000"/>
                <w:sz w:val="22"/>
                <w:szCs w:val="22"/>
              </w:rPr>
            </w:pPr>
          </w:p>
        </w:tc>
        <w:tc>
          <w:tcPr>
            <w:tcW w:w="1620" w:type="dxa"/>
            <w:vAlign w:val="center"/>
          </w:tcPr>
          <w:p w:rsidR="00B66472" w:rsidRDefault="00B66472">
            <w:pPr>
              <w:pBdr>
                <w:top w:val="nil"/>
                <w:left w:val="nil"/>
                <w:bottom w:val="nil"/>
                <w:right w:val="nil"/>
                <w:between w:val="nil"/>
              </w:pBdr>
              <w:jc w:val="right"/>
              <w:rPr>
                <w:rFonts w:ascii="Arial" w:eastAsia="Arial" w:hAnsi="Arial" w:cs="Arial"/>
                <w:color w:val="000000"/>
                <w:sz w:val="22"/>
                <w:szCs w:val="22"/>
              </w:rPr>
            </w:pPr>
          </w:p>
        </w:tc>
        <w:tc>
          <w:tcPr>
            <w:tcW w:w="3420" w:type="dxa"/>
            <w:vAlign w:val="center"/>
          </w:tcPr>
          <w:p w:rsidR="00B66472" w:rsidRDefault="00B66472">
            <w:pPr>
              <w:pBdr>
                <w:top w:val="nil"/>
                <w:left w:val="nil"/>
                <w:bottom w:val="nil"/>
                <w:right w:val="nil"/>
                <w:between w:val="nil"/>
              </w:pBdr>
              <w:rPr>
                <w:rFonts w:ascii="Arial" w:eastAsia="Arial" w:hAnsi="Arial" w:cs="Arial"/>
                <w:color w:val="000000"/>
                <w:sz w:val="22"/>
                <w:szCs w:val="22"/>
              </w:rPr>
            </w:pPr>
          </w:p>
        </w:tc>
      </w:tr>
      <w:tr w:rsidR="00B66472" w:rsidTr="00B66472">
        <w:tc>
          <w:tcPr>
            <w:tcW w:w="1080" w:type="dxa"/>
            <w:vAlign w:val="center"/>
          </w:tcPr>
          <w:p w:rsidR="00B66472" w:rsidRPr="007B7EFE" w:rsidRDefault="00B66472">
            <w:pPr>
              <w:pBdr>
                <w:top w:val="nil"/>
                <w:left w:val="nil"/>
                <w:bottom w:val="nil"/>
                <w:right w:val="nil"/>
                <w:between w:val="nil"/>
              </w:pBdr>
              <w:jc w:val="right"/>
              <w:rPr>
                <w:rFonts w:ascii="Arial" w:eastAsia="Arial" w:hAnsi="Arial" w:cs="Arial"/>
                <w:color w:val="000000"/>
                <w:sz w:val="22"/>
                <w:szCs w:val="22"/>
              </w:rPr>
            </w:pPr>
            <w:r w:rsidRPr="007B7EFE">
              <w:rPr>
                <w:rFonts w:ascii="Arial" w:eastAsia="Arial" w:hAnsi="Arial" w:cs="Arial"/>
                <w:color w:val="000000"/>
                <w:sz w:val="22"/>
                <w:szCs w:val="22"/>
              </w:rPr>
              <w:t>Datum:</w:t>
            </w:r>
          </w:p>
        </w:tc>
        <w:tc>
          <w:tcPr>
            <w:tcW w:w="2160" w:type="dxa"/>
            <w:vAlign w:val="center"/>
          </w:tcPr>
          <w:p w:rsidR="00B66472" w:rsidRPr="007B7EFE" w:rsidRDefault="00B66472">
            <w:pPr>
              <w:pBdr>
                <w:top w:val="nil"/>
                <w:left w:val="nil"/>
                <w:bottom w:val="nil"/>
                <w:right w:val="nil"/>
                <w:between w:val="nil"/>
              </w:pBdr>
              <w:rPr>
                <w:rFonts w:ascii="Arial" w:eastAsia="Arial" w:hAnsi="Arial" w:cs="Arial"/>
                <w:color w:val="000000"/>
                <w:sz w:val="22"/>
                <w:szCs w:val="22"/>
              </w:rPr>
            </w:pPr>
          </w:p>
        </w:tc>
        <w:tc>
          <w:tcPr>
            <w:tcW w:w="1080" w:type="dxa"/>
            <w:vAlign w:val="center"/>
          </w:tcPr>
          <w:p w:rsidR="00B66472" w:rsidRDefault="00B66472">
            <w:pPr>
              <w:pBdr>
                <w:top w:val="nil"/>
                <w:left w:val="nil"/>
                <w:bottom w:val="nil"/>
                <w:right w:val="nil"/>
                <w:between w:val="nil"/>
              </w:pBdr>
              <w:rPr>
                <w:rFonts w:ascii="Arial" w:eastAsia="Arial" w:hAnsi="Arial" w:cs="Arial"/>
                <w:color w:val="000000"/>
                <w:sz w:val="22"/>
                <w:szCs w:val="22"/>
              </w:rPr>
            </w:pPr>
          </w:p>
        </w:tc>
        <w:tc>
          <w:tcPr>
            <w:tcW w:w="1620" w:type="dxa"/>
          </w:tcPr>
          <w:p w:rsidR="00B66472" w:rsidRDefault="00B66472">
            <w:pPr>
              <w:pBdr>
                <w:top w:val="nil"/>
                <w:left w:val="nil"/>
                <w:bottom w:val="nil"/>
                <w:right w:val="nil"/>
                <w:between w:val="nil"/>
              </w:pBdr>
              <w:jc w:val="right"/>
              <w:rPr>
                <w:rFonts w:ascii="Arial" w:eastAsia="Arial" w:hAnsi="Arial" w:cs="Arial"/>
                <w:color w:val="000000"/>
                <w:sz w:val="22"/>
                <w:szCs w:val="22"/>
              </w:rPr>
            </w:pPr>
          </w:p>
        </w:tc>
        <w:tc>
          <w:tcPr>
            <w:tcW w:w="1620" w:type="dxa"/>
            <w:vAlign w:val="center"/>
          </w:tcPr>
          <w:p w:rsidR="00B66472" w:rsidRDefault="00B66472">
            <w:pPr>
              <w:pBdr>
                <w:top w:val="nil"/>
                <w:left w:val="nil"/>
                <w:bottom w:val="nil"/>
                <w:right w:val="nil"/>
                <w:between w:val="nil"/>
              </w:pBdr>
              <w:jc w:val="right"/>
              <w:rPr>
                <w:rFonts w:ascii="Arial" w:eastAsia="Arial" w:hAnsi="Arial" w:cs="Arial"/>
                <w:color w:val="000000"/>
                <w:sz w:val="22"/>
                <w:szCs w:val="22"/>
              </w:rPr>
            </w:pPr>
          </w:p>
        </w:tc>
        <w:tc>
          <w:tcPr>
            <w:tcW w:w="3420" w:type="dxa"/>
            <w:vAlign w:val="center"/>
          </w:tcPr>
          <w:p w:rsidR="00B66472" w:rsidRDefault="00B66472">
            <w:pPr>
              <w:pBdr>
                <w:top w:val="nil"/>
                <w:left w:val="nil"/>
                <w:bottom w:val="nil"/>
                <w:right w:val="nil"/>
                <w:between w:val="nil"/>
              </w:pBdr>
              <w:rPr>
                <w:rFonts w:ascii="Arial" w:eastAsia="Arial" w:hAnsi="Arial" w:cs="Arial"/>
                <w:color w:val="000000"/>
                <w:sz w:val="22"/>
                <w:szCs w:val="22"/>
              </w:rPr>
            </w:pPr>
          </w:p>
        </w:tc>
      </w:tr>
    </w:tbl>
    <w:p w:rsidR="002C7070" w:rsidRDefault="002C7070">
      <w:pPr>
        <w:pBdr>
          <w:top w:val="nil"/>
          <w:left w:val="nil"/>
          <w:bottom w:val="nil"/>
          <w:right w:val="nil"/>
          <w:between w:val="nil"/>
        </w:pBdr>
        <w:ind w:left="-181" w:right="-210"/>
        <w:jc w:val="both"/>
        <w:rPr>
          <w:rFonts w:ascii="Arial" w:eastAsia="Arial" w:hAnsi="Arial" w:cs="Arial"/>
          <w:color w:val="000000"/>
          <w:sz w:val="22"/>
          <w:szCs w:val="22"/>
        </w:rPr>
      </w:pPr>
    </w:p>
    <w:p w:rsidR="002C7070" w:rsidRDefault="002C7070">
      <w:pPr>
        <w:pBdr>
          <w:top w:val="nil"/>
          <w:left w:val="nil"/>
          <w:bottom w:val="nil"/>
          <w:right w:val="nil"/>
          <w:between w:val="nil"/>
        </w:pBdr>
        <w:ind w:left="-181" w:right="-210"/>
        <w:jc w:val="both"/>
        <w:rPr>
          <w:rFonts w:ascii="Arial" w:eastAsia="Arial" w:hAnsi="Arial" w:cs="Arial"/>
          <w:color w:val="000000"/>
          <w:sz w:val="22"/>
          <w:szCs w:val="22"/>
        </w:rPr>
      </w:pPr>
    </w:p>
    <w:p w:rsidR="002C7070" w:rsidRDefault="00775AFE">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 xml:space="preserve">SPREMEMBA RAZPISNE DOKUMENTACIJE </w:t>
      </w:r>
    </w:p>
    <w:p w:rsidR="002C7070" w:rsidRDefault="00775AFE">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 xml:space="preserve">za oddajo javnega naročila </w:t>
      </w:r>
    </w:p>
    <w:p w:rsidR="002C7070" w:rsidRDefault="002C7070">
      <w:pPr>
        <w:pBdr>
          <w:top w:val="nil"/>
          <w:left w:val="nil"/>
          <w:bottom w:val="nil"/>
          <w:right w:val="nil"/>
          <w:between w:val="nil"/>
        </w:pBdr>
        <w:rPr>
          <w:rFonts w:ascii="Arial" w:eastAsia="Arial" w:hAnsi="Arial" w:cs="Arial"/>
          <w:color w:val="000000"/>
          <w:sz w:val="22"/>
          <w:szCs w:val="22"/>
        </w:rPr>
      </w:pPr>
    </w:p>
    <w:tbl>
      <w:tblPr>
        <w:tblStyle w:val="a1"/>
        <w:tblW w:w="9288" w:type="dxa"/>
        <w:tblInd w:w="0" w:type="dxa"/>
        <w:tblLayout w:type="fixed"/>
        <w:tblLook w:val="0000" w:firstRow="0" w:lastRow="0" w:firstColumn="0" w:lastColumn="0" w:noHBand="0" w:noVBand="0"/>
      </w:tblPr>
      <w:tblGrid>
        <w:gridCol w:w="9288"/>
      </w:tblGrid>
      <w:tr w:rsidR="002C7070">
        <w:tc>
          <w:tcPr>
            <w:tcW w:w="9288" w:type="dxa"/>
          </w:tcPr>
          <w:p w:rsidR="002C7070" w:rsidRDefault="00775AFE" w:rsidP="00B6512C">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 xml:space="preserve">Nadgradnja </w:t>
            </w:r>
            <w:r w:rsidR="00B6512C">
              <w:rPr>
                <w:rFonts w:ascii="Arial" w:eastAsia="Arial" w:hAnsi="Arial" w:cs="Arial"/>
                <w:b/>
                <w:color w:val="000000"/>
                <w:sz w:val="22"/>
                <w:szCs w:val="22"/>
              </w:rPr>
              <w:t>železniške postaje Grosuplje</w:t>
            </w:r>
          </w:p>
        </w:tc>
      </w:tr>
    </w:tbl>
    <w:p w:rsidR="002C7070" w:rsidRDefault="002C7070">
      <w:pPr>
        <w:pBdr>
          <w:top w:val="nil"/>
          <w:left w:val="nil"/>
          <w:bottom w:val="nil"/>
          <w:right w:val="nil"/>
          <w:between w:val="nil"/>
        </w:pBdr>
        <w:jc w:val="both"/>
        <w:rPr>
          <w:rFonts w:ascii="Arial" w:eastAsia="Arial" w:hAnsi="Arial" w:cs="Arial"/>
          <w:color w:val="000000"/>
          <w:sz w:val="22"/>
          <w:szCs w:val="22"/>
        </w:rPr>
      </w:pPr>
    </w:p>
    <w:p w:rsidR="002C7070" w:rsidRDefault="00775AF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Obvestilo o spremembi razpisne dokumentacije je objavljeno na "Portalu javnih naročil" in na naročnikovi spletni strani. </w:t>
      </w:r>
    </w:p>
    <w:p w:rsidR="002C7070" w:rsidRDefault="002C7070">
      <w:pPr>
        <w:pBdr>
          <w:top w:val="nil"/>
          <w:left w:val="nil"/>
          <w:bottom w:val="nil"/>
          <w:right w:val="nil"/>
          <w:between w:val="nil"/>
        </w:pBdr>
        <w:jc w:val="both"/>
        <w:rPr>
          <w:rFonts w:ascii="Arial" w:eastAsia="Arial" w:hAnsi="Arial" w:cs="Arial"/>
          <w:color w:val="000000"/>
          <w:sz w:val="22"/>
          <w:szCs w:val="22"/>
        </w:rPr>
      </w:pPr>
    </w:p>
    <w:p w:rsidR="002C7070" w:rsidRDefault="00775AFE">
      <w:p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Obrazložitev sprememb:</w:t>
      </w:r>
    </w:p>
    <w:tbl>
      <w:tblPr>
        <w:tblStyle w:val="a2"/>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7"/>
      </w:tblGrid>
      <w:tr w:rsidR="002C7070" w:rsidTr="004776FA">
        <w:trPr>
          <w:trHeight w:val="2111"/>
        </w:trPr>
        <w:tc>
          <w:tcPr>
            <w:tcW w:w="9287" w:type="dxa"/>
          </w:tcPr>
          <w:p w:rsidR="002C7070" w:rsidRDefault="002C7070">
            <w:pPr>
              <w:pBdr>
                <w:top w:val="nil"/>
                <w:left w:val="nil"/>
                <w:bottom w:val="nil"/>
                <w:right w:val="nil"/>
                <w:between w:val="nil"/>
              </w:pBdr>
              <w:ind w:left="720" w:hanging="720"/>
              <w:rPr>
                <w:rFonts w:ascii="Arial" w:eastAsia="Arial" w:hAnsi="Arial" w:cs="Arial"/>
                <w:color w:val="000000"/>
                <w:sz w:val="22"/>
                <w:szCs w:val="22"/>
              </w:rPr>
            </w:pPr>
          </w:p>
          <w:p w:rsidR="002C7070" w:rsidRDefault="00775AFE" w:rsidP="00B66472">
            <w:pPr>
              <w:pStyle w:val="Odstavekseznama"/>
              <w:numPr>
                <w:ilvl w:val="0"/>
                <w:numId w:val="3"/>
              </w:numPr>
              <w:pBdr>
                <w:top w:val="nil"/>
                <w:left w:val="nil"/>
                <w:bottom w:val="nil"/>
                <w:right w:val="nil"/>
                <w:between w:val="nil"/>
              </w:pBdr>
              <w:rPr>
                <w:rFonts w:ascii="Arial" w:eastAsia="Arial" w:hAnsi="Arial" w:cs="Arial"/>
                <w:color w:val="000000"/>
                <w:sz w:val="22"/>
                <w:szCs w:val="22"/>
              </w:rPr>
            </w:pPr>
            <w:r w:rsidRPr="00B66472">
              <w:rPr>
                <w:rFonts w:ascii="Arial" w:eastAsia="Arial" w:hAnsi="Arial" w:cs="Arial"/>
                <w:color w:val="000000"/>
                <w:sz w:val="22"/>
                <w:szCs w:val="22"/>
              </w:rPr>
              <w:t>Spreminja</w:t>
            </w:r>
            <w:r w:rsidR="00BB60F2">
              <w:rPr>
                <w:rFonts w:ascii="Arial" w:eastAsia="Arial" w:hAnsi="Arial" w:cs="Arial"/>
                <w:color w:val="000000"/>
                <w:sz w:val="22"/>
                <w:szCs w:val="22"/>
              </w:rPr>
              <w:t xml:space="preserve"> se</w:t>
            </w:r>
            <w:r w:rsidRPr="00B66472">
              <w:rPr>
                <w:rFonts w:ascii="Arial" w:eastAsia="Arial" w:hAnsi="Arial" w:cs="Arial"/>
                <w:color w:val="000000"/>
                <w:sz w:val="22"/>
                <w:szCs w:val="22"/>
              </w:rPr>
              <w:t xml:space="preserve"> </w:t>
            </w:r>
            <w:r w:rsidR="00BB60F2">
              <w:rPr>
                <w:rFonts w:ascii="Arial" w:eastAsia="Arial" w:hAnsi="Arial" w:cs="Arial"/>
                <w:color w:val="000000"/>
                <w:sz w:val="22"/>
                <w:szCs w:val="22"/>
              </w:rPr>
              <w:t>zadnji odstavek opomb točke 3.1 Navodil</w:t>
            </w:r>
            <w:r w:rsidR="00B66472">
              <w:rPr>
                <w:rFonts w:ascii="Arial" w:eastAsia="Arial" w:hAnsi="Arial" w:cs="Arial"/>
                <w:color w:val="000000"/>
                <w:sz w:val="22"/>
                <w:szCs w:val="22"/>
              </w:rPr>
              <w:t xml:space="preserve"> </w:t>
            </w:r>
            <w:r w:rsidRPr="00B66472">
              <w:rPr>
                <w:rFonts w:ascii="Arial" w:eastAsia="Arial" w:hAnsi="Arial" w:cs="Arial"/>
                <w:color w:val="000000"/>
                <w:sz w:val="22"/>
                <w:szCs w:val="22"/>
              </w:rPr>
              <w:t>in spremenjen glasi:</w:t>
            </w:r>
          </w:p>
          <w:p w:rsidR="00B66472" w:rsidRDefault="00B66472" w:rsidP="00B66472">
            <w:pPr>
              <w:pBdr>
                <w:top w:val="nil"/>
                <w:left w:val="nil"/>
                <w:bottom w:val="nil"/>
                <w:right w:val="nil"/>
                <w:between w:val="nil"/>
              </w:pBdr>
              <w:ind w:left="360"/>
              <w:rPr>
                <w:rFonts w:ascii="Arial" w:eastAsia="Arial" w:hAnsi="Arial" w:cs="Arial"/>
                <w:color w:val="000000"/>
                <w:sz w:val="22"/>
                <w:szCs w:val="22"/>
              </w:rPr>
            </w:pPr>
          </w:p>
          <w:p w:rsidR="00BB60F2" w:rsidRPr="00BB60F2" w:rsidRDefault="007B7EFE" w:rsidP="00BB60F2">
            <w:pPr>
              <w:spacing w:after="120"/>
              <w:jc w:val="both"/>
              <w:rPr>
                <w:rFonts w:ascii="Arial" w:hAnsi="Arial" w:cs="Arial"/>
                <w:sz w:val="22"/>
                <w:szCs w:val="22"/>
              </w:rPr>
            </w:pPr>
            <w:r>
              <w:rPr>
                <w:rFonts w:ascii="Arial" w:hAnsi="Arial" w:cs="Arial"/>
                <w:sz w:val="22"/>
                <w:szCs w:val="22"/>
              </w:rPr>
              <w:t>»</w:t>
            </w:r>
            <w:bookmarkStart w:id="0" w:name="_GoBack"/>
            <w:r w:rsidR="00BB60F2" w:rsidRPr="00BB60F2">
              <w:rPr>
                <w:rFonts w:ascii="Arial" w:hAnsi="Arial" w:cs="Arial"/>
                <w:sz w:val="22"/>
                <w:szCs w:val="22"/>
              </w:rPr>
              <w:t xml:space="preserve">Zaželeno je, da vsi gospodarski subjekti tako za pravno, kot tudi za osebe, ki so članice upravnega, vodstvenega ali nadzornega organa tega gospodarskega subjekta ali ki imajo pooblastilo za njegovo zastopanje ali odločanje ali nadzor v njem, v ponudbi predložijo izpis iz ustreznega registra, kakršen je sodni register, če tega registra ni, pa enakovreden dokument, ki ga izda pristojni sodni ali upravni organ v Republiki Sloveniji, drugi državi članici ali matični državi ali državi, v kateri ima sedež gospodarski subjekt, in iz katerega je razvidno, da ne obstajajo razlogi za izključitev. </w:t>
            </w:r>
          </w:p>
          <w:p w:rsidR="00BB60F2" w:rsidRPr="00BB60F2" w:rsidRDefault="00BB60F2" w:rsidP="00BB60F2">
            <w:pPr>
              <w:spacing w:after="120"/>
              <w:jc w:val="both"/>
              <w:rPr>
                <w:rFonts w:ascii="Arial" w:hAnsi="Arial" w:cs="Arial"/>
                <w:sz w:val="22"/>
                <w:szCs w:val="22"/>
              </w:rPr>
            </w:pPr>
            <w:r w:rsidRPr="00BB60F2">
              <w:rPr>
                <w:rFonts w:ascii="Arial" w:hAnsi="Arial" w:cs="Arial"/>
                <w:sz w:val="22"/>
                <w:szCs w:val="22"/>
              </w:rPr>
              <w:t>Naročnik bo v tem primeru neobstoj razloga za izključitev lahko preveril na način, da bo ponudnike v fazi ocenjevanja ponudb pozval še k predložitvi novejših tovrstnih dokazil, izdanih po skrajnem roku za prejem ponudb.</w:t>
            </w:r>
          </w:p>
          <w:p w:rsidR="00BB60F2" w:rsidRPr="00BB60F2" w:rsidRDefault="00BB60F2" w:rsidP="00BB60F2">
            <w:pPr>
              <w:spacing w:after="120"/>
              <w:jc w:val="both"/>
              <w:rPr>
                <w:rFonts w:ascii="Arial" w:hAnsi="Arial" w:cs="Arial"/>
                <w:sz w:val="22"/>
                <w:szCs w:val="22"/>
              </w:rPr>
            </w:pPr>
            <w:r w:rsidRPr="00BB60F2">
              <w:rPr>
                <w:rFonts w:ascii="Arial" w:hAnsi="Arial" w:cs="Arial"/>
                <w:sz w:val="22"/>
                <w:szCs w:val="22"/>
              </w:rPr>
              <w:t>Naročnik si pridržuje pravico, da od ponudnikov v tem primeru zahteva dodatna pojasnila oz. predložitev dokazil v zvezi s pravno ureditvijo zakonske in sodne reha</w:t>
            </w:r>
            <w:r w:rsidR="007B7EFE">
              <w:rPr>
                <w:rFonts w:ascii="Arial" w:hAnsi="Arial" w:cs="Arial"/>
                <w:sz w:val="22"/>
                <w:szCs w:val="22"/>
              </w:rPr>
              <w:t>bilitacije oz. izbrisa obsodbe.</w:t>
            </w:r>
            <w:bookmarkEnd w:id="0"/>
            <w:r w:rsidR="007B7EFE">
              <w:rPr>
                <w:rFonts w:ascii="Arial" w:hAnsi="Arial" w:cs="Arial"/>
                <w:sz w:val="22"/>
                <w:szCs w:val="22"/>
              </w:rPr>
              <w:t>«</w:t>
            </w:r>
          </w:p>
          <w:p w:rsidR="002C7070" w:rsidRDefault="002C7070" w:rsidP="004776FA">
            <w:pPr>
              <w:pBdr>
                <w:top w:val="nil"/>
                <w:left w:val="nil"/>
                <w:bottom w:val="nil"/>
                <w:right w:val="nil"/>
                <w:between w:val="nil"/>
              </w:pBdr>
              <w:rPr>
                <w:rFonts w:ascii="Arial" w:eastAsia="Arial" w:hAnsi="Arial" w:cs="Arial"/>
                <w:color w:val="000000"/>
                <w:sz w:val="22"/>
                <w:szCs w:val="22"/>
              </w:rPr>
            </w:pPr>
          </w:p>
          <w:p w:rsidR="00BB60F2" w:rsidRDefault="00BB60F2" w:rsidP="00BB60F2">
            <w:pPr>
              <w:pStyle w:val="Odstavekseznama"/>
              <w:numPr>
                <w:ilvl w:val="0"/>
                <w:numId w:val="7"/>
              </w:numPr>
              <w:pBdr>
                <w:top w:val="nil"/>
                <w:left w:val="nil"/>
                <w:bottom w:val="nil"/>
                <w:right w:val="nil"/>
                <w:between w:val="nil"/>
              </w:pBdr>
              <w:rPr>
                <w:rFonts w:ascii="Arial" w:eastAsia="Arial" w:hAnsi="Arial" w:cs="Arial"/>
                <w:color w:val="000000"/>
                <w:sz w:val="22"/>
                <w:szCs w:val="22"/>
              </w:rPr>
            </w:pPr>
            <w:r w:rsidRPr="00B66472">
              <w:rPr>
                <w:rFonts w:ascii="Arial" w:eastAsia="Arial" w:hAnsi="Arial" w:cs="Arial"/>
                <w:color w:val="000000"/>
                <w:sz w:val="22"/>
                <w:szCs w:val="22"/>
              </w:rPr>
              <w:t>Spreminja</w:t>
            </w:r>
            <w:r>
              <w:rPr>
                <w:rFonts w:ascii="Arial" w:eastAsia="Arial" w:hAnsi="Arial" w:cs="Arial"/>
                <w:color w:val="000000"/>
                <w:sz w:val="22"/>
                <w:szCs w:val="22"/>
              </w:rPr>
              <w:t xml:space="preserve"> se referenčna zahteva </w:t>
            </w:r>
            <w:r w:rsidR="00C9640B">
              <w:rPr>
                <w:rFonts w:ascii="Arial" w:eastAsia="Arial" w:hAnsi="Arial" w:cs="Arial"/>
                <w:color w:val="000000"/>
                <w:sz w:val="22"/>
                <w:szCs w:val="22"/>
              </w:rPr>
              <w:t xml:space="preserve">za </w:t>
            </w:r>
            <w:r>
              <w:rPr>
                <w:rFonts w:ascii="Arial" w:eastAsia="Arial" w:hAnsi="Arial" w:cs="Arial"/>
                <w:color w:val="000000"/>
                <w:sz w:val="22"/>
                <w:szCs w:val="22"/>
              </w:rPr>
              <w:t>Strokovnjaka za električne inštalacije iz točke 3.2.3.2 Navodil</w:t>
            </w:r>
            <w:r w:rsidRPr="00B66472">
              <w:rPr>
                <w:rFonts w:ascii="Arial" w:eastAsia="Arial" w:hAnsi="Arial" w:cs="Arial"/>
                <w:color w:val="000000"/>
                <w:sz w:val="22"/>
                <w:szCs w:val="22"/>
              </w:rPr>
              <w:t xml:space="preserve"> in spremenjen</w:t>
            </w:r>
            <w:r>
              <w:rPr>
                <w:rFonts w:ascii="Arial" w:eastAsia="Arial" w:hAnsi="Arial" w:cs="Arial"/>
                <w:color w:val="000000"/>
                <w:sz w:val="22"/>
                <w:szCs w:val="22"/>
              </w:rPr>
              <w:t>a</w:t>
            </w:r>
            <w:r w:rsidRPr="00B66472">
              <w:rPr>
                <w:rFonts w:ascii="Arial" w:eastAsia="Arial" w:hAnsi="Arial" w:cs="Arial"/>
                <w:color w:val="000000"/>
                <w:sz w:val="22"/>
                <w:szCs w:val="22"/>
              </w:rPr>
              <w:t xml:space="preserve"> glasi:</w:t>
            </w:r>
          </w:p>
          <w:p w:rsidR="00DF64CE" w:rsidRDefault="00DF64CE" w:rsidP="00DF64CE">
            <w:pPr>
              <w:pStyle w:val="Odstavekseznama"/>
              <w:pBdr>
                <w:top w:val="nil"/>
                <w:left w:val="nil"/>
                <w:bottom w:val="nil"/>
                <w:right w:val="nil"/>
                <w:between w:val="nil"/>
              </w:pBdr>
              <w:rPr>
                <w:rFonts w:ascii="Arial" w:eastAsia="Arial" w:hAnsi="Arial" w:cs="Arial"/>
                <w:color w:val="000000"/>
                <w:sz w:val="22"/>
                <w:szCs w:val="22"/>
              </w:rPr>
            </w:pPr>
          </w:p>
          <w:p w:rsidR="00DF64CE" w:rsidRPr="00DF64CE" w:rsidRDefault="00DF64CE" w:rsidP="00C9640B">
            <w:pPr>
              <w:pStyle w:val="Odstavekseznama"/>
              <w:numPr>
                <w:ilvl w:val="0"/>
                <w:numId w:val="8"/>
              </w:numPr>
              <w:pBdr>
                <w:top w:val="nil"/>
                <w:left w:val="nil"/>
                <w:bottom w:val="nil"/>
                <w:right w:val="nil"/>
                <w:between w:val="nil"/>
              </w:pBdr>
              <w:jc w:val="both"/>
              <w:rPr>
                <w:rFonts w:ascii="Arial" w:hAnsi="Arial" w:cs="Arial"/>
                <w:sz w:val="22"/>
                <w:szCs w:val="22"/>
                <w:lang w:eastAsia="en-US"/>
              </w:rPr>
            </w:pPr>
            <w:r w:rsidRPr="00DF64CE">
              <w:rPr>
                <w:rFonts w:ascii="Arial" w:hAnsi="Arial" w:cs="Arial"/>
                <w:sz w:val="22"/>
                <w:szCs w:val="22"/>
                <w:lang w:eastAsia="en-US"/>
              </w:rPr>
              <w:t>ima strokovno izobrazbo elektro smeri</w:t>
            </w:r>
            <w:r w:rsidR="00833A46">
              <w:rPr>
                <w:rFonts w:ascii="Arial" w:hAnsi="Arial" w:cs="Arial"/>
                <w:sz w:val="22"/>
                <w:szCs w:val="22"/>
                <w:lang w:eastAsia="en-US"/>
              </w:rPr>
              <w:t>,</w:t>
            </w:r>
          </w:p>
          <w:p w:rsidR="00BB60F2" w:rsidRPr="00DF64CE" w:rsidRDefault="00DF64CE" w:rsidP="00C9640B">
            <w:pPr>
              <w:pStyle w:val="Odstavekseznama"/>
              <w:numPr>
                <w:ilvl w:val="0"/>
                <w:numId w:val="8"/>
              </w:numPr>
              <w:pBdr>
                <w:top w:val="nil"/>
                <w:left w:val="nil"/>
                <w:bottom w:val="nil"/>
                <w:right w:val="nil"/>
                <w:between w:val="nil"/>
              </w:pBdr>
              <w:jc w:val="both"/>
              <w:rPr>
                <w:rFonts w:ascii="Arial" w:hAnsi="Arial" w:cs="Arial"/>
                <w:sz w:val="22"/>
                <w:szCs w:val="22"/>
                <w:lang w:eastAsia="en-US"/>
              </w:rPr>
            </w:pPr>
            <w:r w:rsidRPr="00DF64CE">
              <w:rPr>
                <w:rFonts w:ascii="Arial" w:hAnsi="Arial" w:cs="Arial"/>
                <w:sz w:val="22"/>
                <w:szCs w:val="22"/>
                <w:lang w:eastAsia="en-US"/>
              </w:rPr>
              <w:t>je vpisan v imenik pooblaščenih inženirjev z aktivnim poklicnim nazivom ali imenik aktivnih vodij del (</w:t>
            </w:r>
            <w:proofErr w:type="spellStart"/>
            <w:r w:rsidRPr="00DF64CE">
              <w:rPr>
                <w:rFonts w:ascii="Arial" w:hAnsi="Arial" w:cs="Arial"/>
                <w:sz w:val="22"/>
                <w:szCs w:val="22"/>
                <w:lang w:eastAsia="en-US"/>
              </w:rPr>
              <w:t>Vz</w:t>
            </w:r>
            <w:proofErr w:type="spellEnd"/>
            <w:r w:rsidRPr="00DF64CE">
              <w:rPr>
                <w:rFonts w:ascii="Arial" w:hAnsi="Arial" w:cs="Arial"/>
                <w:sz w:val="22"/>
                <w:szCs w:val="22"/>
                <w:lang w:eastAsia="en-US"/>
              </w:rPr>
              <w:t>) pristojne poklicne zbornice v Republiki Sloveniji (IZS), oziroma za ta vpis izpolnjuje predpisane pogoje,</w:t>
            </w:r>
          </w:p>
          <w:p w:rsidR="00BB60F2" w:rsidRPr="00BB60F2" w:rsidRDefault="00BB60F2" w:rsidP="00C9640B">
            <w:pPr>
              <w:pStyle w:val="Odstavekseznama"/>
              <w:numPr>
                <w:ilvl w:val="0"/>
                <w:numId w:val="8"/>
              </w:numPr>
              <w:pBdr>
                <w:top w:val="nil"/>
                <w:left w:val="nil"/>
                <w:bottom w:val="nil"/>
                <w:right w:val="nil"/>
                <w:between w:val="nil"/>
              </w:pBdr>
              <w:jc w:val="both"/>
              <w:rPr>
                <w:rFonts w:ascii="Arial" w:eastAsia="Arial" w:hAnsi="Arial" w:cs="Arial"/>
                <w:color w:val="000000"/>
                <w:sz w:val="22"/>
                <w:szCs w:val="22"/>
              </w:rPr>
            </w:pPr>
            <w:r w:rsidRPr="00BB60F2">
              <w:rPr>
                <w:rFonts w:ascii="Arial" w:hAnsi="Arial" w:cs="Arial"/>
                <w:sz w:val="22"/>
                <w:szCs w:val="22"/>
                <w:lang w:eastAsia="en-US"/>
              </w:rPr>
              <w:t xml:space="preserve">v zadnjih 10 letih pred objavo predmetnega naročila ima reference pri vodenju izvedbe novogradenj, nadgradenj ali obnov električnih inštalacij pri vsaj enem projektu gradnje ali nadgradnje ali rekonstrukcije železniške infrastrukture na območju EU, pri čemer je znašala vrednost del s področja električnih inštalacij najmanj 300.000 EUR brez DDV. Referenčna dela je strokovnjak moral izvajati kot </w:t>
            </w:r>
            <w:r w:rsidRPr="00BB60F2">
              <w:rPr>
                <w:rFonts w:ascii="Arial" w:hAnsi="Arial" w:cs="Arial"/>
                <w:sz w:val="22"/>
                <w:szCs w:val="22"/>
              </w:rPr>
              <w:t>kader, ki v smislu določb GZ pomenijo funkcijo vodje del ali vodje gradnje oz. so v smislu določb ZGO – 1 pomenile funkcijo odgovornega vodje del ali odgovornega</w:t>
            </w:r>
            <w:r>
              <w:rPr>
                <w:rFonts w:ascii="Arial" w:hAnsi="Arial" w:cs="Arial"/>
                <w:sz w:val="22"/>
                <w:szCs w:val="22"/>
              </w:rPr>
              <w:t xml:space="preserve"> vodje posameznih del za elektro</w:t>
            </w:r>
            <w:r w:rsidRPr="00BB60F2">
              <w:rPr>
                <w:rFonts w:ascii="Arial" w:hAnsi="Arial" w:cs="Arial"/>
                <w:sz w:val="22"/>
                <w:szCs w:val="22"/>
              </w:rPr>
              <w:t xml:space="preserve"> inštalacije.</w:t>
            </w:r>
          </w:p>
          <w:p w:rsidR="00775AFE" w:rsidRPr="00BB60F2" w:rsidRDefault="00775AFE" w:rsidP="00BB60F2">
            <w:pPr>
              <w:pBdr>
                <w:top w:val="nil"/>
                <w:left w:val="nil"/>
                <w:bottom w:val="nil"/>
                <w:right w:val="nil"/>
                <w:between w:val="nil"/>
              </w:pBdr>
              <w:rPr>
                <w:rFonts w:ascii="Arial" w:eastAsia="Arial" w:hAnsi="Arial" w:cs="Arial"/>
                <w:color w:val="2F2F2F"/>
                <w:sz w:val="22"/>
                <w:szCs w:val="22"/>
              </w:rPr>
            </w:pPr>
          </w:p>
        </w:tc>
      </w:tr>
    </w:tbl>
    <w:p w:rsidR="002C7070" w:rsidRDefault="00775AFE" w:rsidP="004776FA">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Spremembe so sestavni del razpisne dokumentacije in jih je potrebno upoštevati pri pripravi ponudbe.</w:t>
      </w:r>
    </w:p>
    <w:sectPr w:rsidR="002C7070">
      <w:headerReference w:type="even" r:id="rId8"/>
      <w:headerReference w:type="default" r:id="rId9"/>
      <w:footerReference w:type="even" r:id="rId10"/>
      <w:footerReference w:type="default" r:id="rId11"/>
      <w:headerReference w:type="first" r:id="rId12"/>
      <w:footerReference w:type="first" r:id="rId13"/>
      <w:pgSz w:w="11907" w:h="16840"/>
      <w:pgMar w:top="1418" w:right="1418" w:bottom="1418" w:left="1418" w:header="284" w:footer="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5C5D" w:rsidRDefault="006C5C5D">
      <w:r>
        <w:separator/>
      </w:r>
    </w:p>
  </w:endnote>
  <w:endnote w:type="continuationSeparator" w:id="0">
    <w:p w:rsidR="006C5C5D" w:rsidRDefault="006C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70" w:rsidRDefault="002C7070">
    <w:pPr>
      <w:pBdr>
        <w:top w:val="nil"/>
        <w:left w:val="nil"/>
        <w:bottom w:val="nil"/>
        <w:right w:val="nil"/>
        <w:between w:val="nil"/>
      </w:pBdr>
      <w:tabs>
        <w:tab w:val="center" w:pos="4320"/>
        <w:tab w:val="right" w:pos="8640"/>
      </w:tabs>
      <w:rPr>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70" w:rsidRDefault="002C7070">
    <w:pPr>
      <w:pBdr>
        <w:top w:val="nil"/>
        <w:left w:val="nil"/>
        <w:bottom w:val="nil"/>
        <w:right w:val="nil"/>
        <w:between w:val="nil"/>
      </w:pBdr>
      <w:tabs>
        <w:tab w:val="center" w:pos="4320"/>
        <w:tab w:val="right" w:pos="8640"/>
      </w:tabs>
      <w:rPr>
        <w:color w:val="000000"/>
        <w:sz w:val="16"/>
        <w:szCs w:val="16"/>
      </w:rPr>
    </w:pPr>
  </w:p>
  <w:tbl>
    <w:tblPr>
      <w:tblStyle w:val="a3"/>
      <w:tblW w:w="9430" w:type="dxa"/>
      <w:tblInd w:w="0" w:type="dxa"/>
      <w:tblLayout w:type="fixed"/>
      <w:tblLook w:val="0000" w:firstRow="0" w:lastRow="0" w:firstColumn="0" w:lastColumn="0" w:noHBand="0" w:noVBand="0"/>
    </w:tblPr>
    <w:tblGrid>
      <w:gridCol w:w="3614"/>
      <w:gridCol w:w="956"/>
      <w:gridCol w:w="1620"/>
      <w:gridCol w:w="3240"/>
    </w:tblGrid>
    <w:tr w:rsidR="002C7070">
      <w:trPr>
        <w:trHeight w:val="785"/>
      </w:trPr>
      <w:tc>
        <w:tcPr>
          <w:tcW w:w="3614" w:type="dxa"/>
          <w:tcBorders>
            <w:top w:val="single" w:sz="4" w:space="0" w:color="000000"/>
          </w:tcBorders>
          <w:vAlign w:val="center"/>
        </w:tcPr>
        <w:p w:rsidR="002C7070" w:rsidRDefault="002C7070">
          <w:pPr>
            <w:pBdr>
              <w:top w:val="nil"/>
              <w:left w:val="nil"/>
              <w:bottom w:val="nil"/>
              <w:right w:val="nil"/>
              <w:between w:val="nil"/>
            </w:pBdr>
            <w:tabs>
              <w:tab w:val="left" w:pos="456"/>
              <w:tab w:val="left" w:pos="1164"/>
              <w:tab w:val="left" w:pos="3432"/>
              <w:tab w:val="left" w:pos="9483"/>
            </w:tabs>
            <w:rPr>
              <w:rFonts w:ascii="Arial" w:eastAsia="Arial" w:hAnsi="Arial" w:cs="Arial"/>
              <w:color w:val="000000"/>
              <w:sz w:val="16"/>
              <w:szCs w:val="16"/>
            </w:rPr>
          </w:pPr>
        </w:p>
      </w:tc>
      <w:tc>
        <w:tcPr>
          <w:tcW w:w="956" w:type="dxa"/>
          <w:tcBorders>
            <w:top w:val="single" w:sz="4" w:space="0" w:color="000000"/>
          </w:tcBorders>
          <w:vAlign w:val="center"/>
        </w:tcPr>
        <w:p w:rsidR="002C7070" w:rsidRDefault="002C7070">
          <w:pPr>
            <w:pBdr>
              <w:top w:val="nil"/>
              <w:left w:val="nil"/>
              <w:bottom w:val="nil"/>
              <w:right w:val="nil"/>
              <w:between w:val="nil"/>
            </w:pBdr>
            <w:tabs>
              <w:tab w:val="right" w:pos="1247"/>
            </w:tabs>
            <w:jc w:val="center"/>
            <w:rPr>
              <w:rFonts w:ascii="Arial" w:eastAsia="Arial" w:hAnsi="Arial" w:cs="Arial"/>
              <w:color w:val="000000"/>
              <w:sz w:val="14"/>
              <w:szCs w:val="14"/>
            </w:rPr>
          </w:pPr>
        </w:p>
      </w:tc>
      <w:tc>
        <w:tcPr>
          <w:tcW w:w="1620" w:type="dxa"/>
          <w:tcBorders>
            <w:top w:val="single" w:sz="4" w:space="0" w:color="000000"/>
          </w:tcBorders>
          <w:vAlign w:val="center"/>
        </w:tcPr>
        <w:p w:rsidR="002C7070" w:rsidRDefault="002C7070">
          <w:pPr>
            <w:pBdr>
              <w:top w:val="nil"/>
              <w:left w:val="nil"/>
              <w:bottom w:val="nil"/>
              <w:right w:val="nil"/>
              <w:between w:val="nil"/>
            </w:pBdr>
            <w:tabs>
              <w:tab w:val="center" w:pos="4320"/>
              <w:tab w:val="right" w:pos="8640"/>
            </w:tabs>
            <w:rPr>
              <w:color w:val="000000"/>
              <w:sz w:val="16"/>
              <w:szCs w:val="16"/>
            </w:rPr>
          </w:pPr>
        </w:p>
      </w:tc>
      <w:tc>
        <w:tcPr>
          <w:tcW w:w="3240" w:type="dxa"/>
          <w:tcBorders>
            <w:top w:val="single" w:sz="4" w:space="0" w:color="000000"/>
          </w:tcBorders>
          <w:vAlign w:val="center"/>
        </w:tcPr>
        <w:p w:rsidR="002C7070" w:rsidRDefault="00775AFE">
          <w:pPr>
            <w:pBdr>
              <w:top w:val="nil"/>
              <w:left w:val="nil"/>
              <w:bottom w:val="nil"/>
              <w:right w:val="nil"/>
              <w:between w:val="nil"/>
            </w:pBdr>
            <w:tabs>
              <w:tab w:val="center" w:pos="4320"/>
              <w:tab w:val="right" w:pos="8640"/>
            </w:tabs>
            <w:jc w:val="right"/>
            <w:rPr>
              <w:rFonts w:ascii="Arial" w:eastAsia="Arial" w:hAnsi="Arial" w:cs="Arial"/>
              <w:color w:val="000000"/>
              <w:sz w:val="16"/>
              <w:szCs w:val="16"/>
            </w:rPr>
          </w:pPr>
          <w:r>
            <w:rPr>
              <w:rFonts w:ascii="Arial" w:eastAsia="Arial" w:hAnsi="Arial" w:cs="Arial"/>
              <w:color w:val="000000"/>
              <w:sz w:val="16"/>
              <w:szCs w:val="16"/>
            </w:rPr>
            <w:t xml:space="preserve">stran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DF64CE">
            <w:rPr>
              <w:rFonts w:ascii="Arial" w:eastAsia="Arial" w:hAnsi="Arial" w:cs="Arial"/>
              <w:noProof/>
              <w:color w:val="000000"/>
              <w:sz w:val="16"/>
              <w:szCs w:val="16"/>
            </w:rPr>
            <w:t>2</w:t>
          </w:r>
          <w:r>
            <w:rPr>
              <w:rFonts w:ascii="Arial" w:eastAsia="Arial" w:hAnsi="Arial" w:cs="Arial"/>
              <w:color w:val="000000"/>
              <w:sz w:val="16"/>
              <w:szCs w:val="16"/>
            </w:rPr>
            <w:fldChar w:fldCharType="end"/>
          </w:r>
          <w:r>
            <w:rPr>
              <w:rFonts w:ascii="Arial" w:eastAsia="Arial" w:hAnsi="Arial" w:cs="Arial"/>
              <w:color w:val="000000"/>
              <w:sz w:val="16"/>
              <w:szCs w:val="16"/>
            </w:rPr>
            <w:t xml:space="preserve"> od </w:t>
          </w:r>
          <w:r>
            <w:rPr>
              <w:color w:val="000000"/>
              <w:sz w:val="16"/>
              <w:szCs w:val="16"/>
            </w:rPr>
            <w:fldChar w:fldCharType="begin"/>
          </w:r>
          <w:r>
            <w:rPr>
              <w:color w:val="000000"/>
              <w:sz w:val="16"/>
              <w:szCs w:val="16"/>
            </w:rPr>
            <w:instrText>NUMPAGES</w:instrText>
          </w:r>
          <w:r>
            <w:rPr>
              <w:color w:val="000000"/>
              <w:sz w:val="16"/>
              <w:szCs w:val="16"/>
            </w:rPr>
            <w:fldChar w:fldCharType="separate"/>
          </w:r>
          <w:r w:rsidR="00DF64CE">
            <w:rPr>
              <w:noProof/>
              <w:color w:val="000000"/>
              <w:sz w:val="16"/>
              <w:szCs w:val="16"/>
            </w:rPr>
            <w:t>2</w:t>
          </w:r>
          <w:r>
            <w:rPr>
              <w:color w:val="000000"/>
              <w:sz w:val="16"/>
              <w:szCs w:val="16"/>
            </w:rPr>
            <w:fldChar w:fldCharType="end"/>
          </w:r>
        </w:p>
      </w:tc>
    </w:tr>
  </w:tbl>
  <w:p w:rsidR="002C7070" w:rsidRDefault="002C7070">
    <w:pPr>
      <w:pBdr>
        <w:top w:val="nil"/>
        <w:left w:val="nil"/>
        <w:bottom w:val="nil"/>
        <w:right w:val="nil"/>
        <w:between w:val="nil"/>
      </w:pBdr>
      <w:tabs>
        <w:tab w:val="center" w:pos="4320"/>
        <w:tab w:val="right" w:pos="8640"/>
      </w:tabs>
      <w:rPr>
        <w:rFonts w:ascii="Arial" w:eastAsia="Arial" w:hAnsi="Arial" w:cs="Arial"/>
        <w:color w:val="000000"/>
        <w:sz w:val="2"/>
        <w:szCs w:val="2"/>
      </w:rPr>
    </w:pPr>
  </w:p>
  <w:p w:rsidR="002C7070" w:rsidRDefault="002C7070">
    <w:pPr>
      <w:pBdr>
        <w:top w:val="nil"/>
        <w:left w:val="nil"/>
        <w:bottom w:val="nil"/>
        <w:right w:val="nil"/>
        <w:between w:val="nil"/>
      </w:pBdr>
      <w:tabs>
        <w:tab w:val="center" w:pos="4320"/>
        <w:tab w:val="right" w:pos="8640"/>
      </w:tabs>
      <w:rPr>
        <w:color w:val="000000"/>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70" w:rsidRDefault="00775AFE">
    <w:pPr>
      <w:pBdr>
        <w:top w:val="nil"/>
        <w:left w:val="nil"/>
        <w:bottom w:val="nil"/>
        <w:right w:val="nil"/>
        <w:between w:val="nil"/>
      </w:pBdr>
      <w:tabs>
        <w:tab w:val="center" w:pos="4320"/>
        <w:tab w:val="right" w:pos="8640"/>
      </w:tabs>
      <w:ind w:firstLine="540"/>
      <w:rPr>
        <w:color w:val="000000"/>
        <w:sz w:val="24"/>
        <w:szCs w:val="24"/>
      </w:rPr>
    </w:pPr>
    <w:r>
      <w:rPr>
        <w:color w:val="000000"/>
        <w:sz w:val="24"/>
        <w:szCs w:val="24"/>
      </w:rPr>
      <w:t xml:space="preserve">  </w:t>
    </w:r>
    <w:r>
      <w:rPr>
        <w:noProof/>
        <w:color w:val="000000"/>
        <w:sz w:val="24"/>
        <w:szCs w:val="24"/>
      </w:rPr>
      <w:drawing>
        <wp:inline distT="0" distB="0" distL="114300" distR="114300">
          <wp:extent cx="542290" cy="43307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42290" cy="433070"/>
                  </a:xfrm>
                  <a:prstGeom prst="rect">
                    <a:avLst/>
                  </a:prstGeom>
                  <a:ln/>
                </pic:spPr>
              </pic:pic>
            </a:graphicData>
          </a:graphic>
        </wp:inline>
      </w:drawing>
    </w:r>
    <w:r>
      <w:rPr>
        <w:color w:val="000000"/>
        <w:sz w:val="24"/>
        <w:szCs w:val="24"/>
      </w:rPr>
      <w:t xml:space="preserve">    </w:t>
    </w:r>
    <w:r>
      <w:rPr>
        <w:noProof/>
        <w:color w:val="000000"/>
        <w:sz w:val="24"/>
        <w:szCs w:val="24"/>
      </w:rPr>
      <w:drawing>
        <wp:inline distT="0" distB="0" distL="114300" distR="114300">
          <wp:extent cx="433070" cy="43307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433070" cy="433070"/>
                  </a:xfrm>
                  <a:prstGeom prst="rect">
                    <a:avLst/>
                  </a:prstGeom>
                  <a:ln/>
                </pic:spPr>
              </pic:pic>
            </a:graphicData>
          </a:graphic>
        </wp:inline>
      </w:drawing>
    </w:r>
    <w:r>
      <w:rPr>
        <w:color w:val="000000"/>
        <w:sz w:val="24"/>
        <w:szCs w:val="24"/>
      </w:rPr>
      <w:t xml:space="preserve">    </w:t>
    </w:r>
    <w:r>
      <w:rPr>
        <w:noProof/>
        <w:color w:val="000000"/>
        <w:sz w:val="24"/>
        <w:szCs w:val="24"/>
      </w:rPr>
      <w:drawing>
        <wp:inline distT="0" distB="0" distL="114300" distR="114300">
          <wp:extent cx="2339975" cy="33782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
                  <a:srcRect/>
                  <a:stretch>
                    <a:fillRect/>
                  </a:stretch>
                </pic:blipFill>
                <pic:spPr>
                  <a:xfrm>
                    <a:off x="0" y="0"/>
                    <a:ext cx="2339975" cy="337820"/>
                  </a:xfrm>
                  <a:prstGeom prst="rect">
                    <a:avLst/>
                  </a:prstGeom>
                  <a:ln/>
                </pic:spPr>
              </pic:pic>
            </a:graphicData>
          </a:graphic>
        </wp:inline>
      </w:drawing>
    </w:r>
    <w:r>
      <w:rPr>
        <w:color w:val="000000"/>
        <w:sz w:val="24"/>
        <w:szCs w:val="24"/>
      </w:rPr>
      <w:t xml:space="preserve">        </w:t>
    </w:r>
  </w:p>
  <w:p w:rsidR="002C7070" w:rsidRDefault="002C7070">
    <w:pPr>
      <w:pBdr>
        <w:top w:val="nil"/>
        <w:left w:val="nil"/>
        <w:bottom w:val="nil"/>
        <w:right w:val="nil"/>
        <w:between w:val="nil"/>
      </w:pBdr>
      <w:tabs>
        <w:tab w:val="center" w:pos="4320"/>
        <w:tab w:val="right" w:pos="8640"/>
      </w:tabs>
      <w:rPr>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5C5D" w:rsidRDefault="006C5C5D">
      <w:r>
        <w:separator/>
      </w:r>
    </w:p>
  </w:footnote>
  <w:footnote w:type="continuationSeparator" w:id="0">
    <w:p w:rsidR="006C5C5D" w:rsidRDefault="006C5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70" w:rsidRDefault="002C7070">
    <w:pPr>
      <w:pBdr>
        <w:top w:val="nil"/>
        <w:left w:val="nil"/>
        <w:bottom w:val="nil"/>
        <w:right w:val="nil"/>
        <w:between w:val="nil"/>
      </w:pBdr>
      <w:tabs>
        <w:tab w:val="center" w:pos="4320"/>
        <w:tab w:val="right" w:pos="8640"/>
      </w:tabs>
      <w:rPr>
        <w:color w:val="000000"/>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70" w:rsidRDefault="002C7070">
    <w:pPr>
      <w:pBdr>
        <w:top w:val="nil"/>
        <w:left w:val="nil"/>
        <w:bottom w:val="nil"/>
        <w:right w:val="nil"/>
        <w:between w:val="nil"/>
      </w:pBdr>
      <w:tabs>
        <w:tab w:val="center" w:pos="4320"/>
        <w:tab w:val="right" w:pos="8640"/>
      </w:tabs>
      <w:rPr>
        <w:color w:val="000000"/>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7070" w:rsidRDefault="002C7070">
    <w:pPr>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3002C"/>
    <w:multiLevelType w:val="hybridMultilevel"/>
    <w:tmpl w:val="CA6074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C20456"/>
    <w:multiLevelType w:val="multilevel"/>
    <w:tmpl w:val="EF8EBED8"/>
    <w:lvl w:ilvl="0">
      <w:start w:val="1"/>
      <w:numFmt w:val="bullet"/>
      <w:lvlText w:val="●"/>
      <w:lvlJc w:val="left"/>
      <w:pPr>
        <w:ind w:left="1996" w:hanging="360"/>
      </w:pPr>
      <w:rPr>
        <w:rFonts w:ascii="Noto Sans Symbols" w:eastAsia="Noto Sans Symbols" w:hAnsi="Noto Sans Symbols" w:cs="Noto Sans Symbols"/>
        <w:vertAlign w:val="baseline"/>
      </w:rPr>
    </w:lvl>
    <w:lvl w:ilvl="1">
      <w:start w:val="1"/>
      <w:numFmt w:val="bullet"/>
      <w:lvlText w:val="o"/>
      <w:lvlJc w:val="left"/>
      <w:pPr>
        <w:ind w:left="2716" w:hanging="360"/>
      </w:pPr>
      <w:rPr>
        <w:rFonts w:ascii="Courier New" w:eastAsia="Courier New" w:hAnsi="Courier New" w:cs="Courier New"/>
        <w:vertAlign w:val="baseline"/>
      </w:rPr>
    </w:lvl>
    <w:lvl w:ilvl="2">
      <w:start w:val="1"/>
      <w:numFmt w:val="bullet"/>
      <w:lvlText w:val="▪"/>
      <w:lvlJc w:val="left"/>
      <w:pPr>
        <w:ind w:left="3436" w:hanging="360"/>
      </w:pPr>
      <w:rPr>
        <w:rFonts w:ascii="Noto Sans Symbols" w:eastAsia="Noto Sans Symbols" w:hAnsi="Noto Sans Symbols" w:cs="Noto Sans Symbols"/>
        <w:vertAlign w:val="baseline"/>
      </w:rPr>
    </w:lvl>
    <w:lvl w:ilvl="3">
      <w:start w:val="1"/>
      <w:numFmt w:val="bullet"/>
      <w:lvlText w:val="●"/>
      <w:lvlJc w:val="left"/>
      <w:pPr>
        <w:ind w:left="4156" w:hanging="360"/>
      </w:pPr>
      <w:rPr>
        <w:rFonts w:ascii="Noto Sans Symbols" w:eastAsia="Noto Sans Symbols" w:hAnsi="Noto Sans Symbols" w:cs="Noto Sans Symbols"/>
        <w:vertAlign w:val="baseline"/>
      </w:rPr>
    </w:lvl>
    <w:lvl w:ilvl="4">
      <w:start w:val="1"/>
      <w:numFmt w:val="bullet"/>
      <w:lvlText w:val="o"/>
      <w:lvlJc w:val="left"/>
      <w:pPr>
        <w:ind w:left="4876" w:hanging="360"/>
      </w:pPr>
      <w:rPr>
        <w:rFonts w:ascii="Courier New" w:eastAsia="Courier New" w:hAnsi="Courier New" w:cs="Courier New"/>
        <w:vertAlign w:val="baseline"/>
      </w:rPr>
    </w:lvl>
    <w:lvl w:ilvl="5">
      <w:start w:val="1"/>
      <w:numFmt w:val="bullet"/>
      <w:lvlText w:val="▪"/>
      <w:lvlJc w:val="left"/>
      <w:pPr>
        <w:ind w:left="5596" w:hanging="360"/>
      </w:pPr>
      <w:rPr>
        <w:rFonts w:ascii="Noto Sans Symbols" w:eastAsia="Noto Sans Symbols" w:hAnsi="Noto Sans Symbols" w:cs="Noto Sans Symbols"/>
        <w:vertAlign w:val="baseline"/>
      </w:rPr>
    </w:lvl>
    <w:lvl w:ilvl="6">
      <w:start w:val="1"/>
      <w:numFmt w:val="bullet"/>
      <w:lvlText w:val="●"/>
      <w:lvlJc w:val="left"/>
      <w:pPr>
        <w:ind w:left="6316" w:hanging="360"/>
      </w:pPr>
      <w:rPr>
        <w:rFonts w:ascii="Noto Sans Symbols" w:eastAsia="Noto Sans Symbols" w:hAnsi="Noto Sans Symbols" w:cs="Noto Sans Symbols"/>
        <w:vertAlign w:val="baseline"/>
      </w:rPr>
    </w:lvl>
    <w:lvl w:ilvl="7">
      <w:start w:val="1"/>
      <w:numFmt w:val="bullet"/>
      <w:lvlText w:val="o"/>
      <w:lvlJc w:val="left"/>
      <w:pPr>
        <w:ind w:left="7036" w:hanging="360"/>
      </w:pPr>
      <w:rPr>
        <w:rFonts w:ascii="Courier New" w:eastAsia="Courier New" w:hAnsi="Courier New" w:cs="Courier New"/>
        <w:vertAlign w:val="baseline"/>
      </w:rPr>
    </w:lvl>
    <w:lvl w:ilvl="8">
      <w:start w:val="1"/>
      <w:numFmt w:val="bullet"/>
      <w:lvlText w:val="▪"/>
      <w:lvlJc w:val="left"/>
      <w:pPr>
        <w:ind w:left="7756" w:hanging="360"/>
      </w:pPr>
      <w:rPr>
        <w:rFonts w:ascii="Noto Sans Symbols" w:eastAsia="Noto Sans Symbols" w:hAnsi="Noto Sans Symbols" w:cs="Noto Sans Symbols"/>
        <w:vertAlign w:val="baseline"/>
      </w:rPr>
    </w:lvl>
  </w:abstractNum>
  <w:abstractNum w:abstractNumId="2" w15:restartNumberingAfterBreak="0">
    <w:nsid w:val="1A7D755D"/>
    <w:multiLevelType w:val="hybridMultilevel"/>
    <w:tmpl w:val="AAB450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B63796D"/>
    <w:multiLevelType w:val="hybridMultilevel"/>
    <w:tmpl w:val="5DB2F6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DF838FE"/>
    <w:multiLevelType w:val="hybridMultilevel"/>
    <w:tmpl w:val="CA6074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0124FE1"/>
    <w:multiLevelType w:val="hybridMultilevel"/>
    <w:tmpl w:val="CA6074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AE76ECD"/>
    <w:multiLevelType w:val="hybridMultilevel"/>
    <w:tmpl w:val="DFA09BDA"/>
    <w:lvl w:ilvl="0" w:tplc="1E7021B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4913542"/>
    <w:multiLevelType w:val="multilevel"/>
    <w:tmpl w:val="E868A19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1"/>
  </w:num>
  <w:num w:numId="3">
    <w:abstractNumId w:val="4"/>
  </w:num>
  <w:num w:numId="4">
    <w:abstractNumId w:val="6"/>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070"/>
    <w:rsid w:val="002C7070"/>
    <w:rsid w:val="003E00F6"/>
    <w:rsid w:val="0046787B"/>
    <w:rsid w:val="004776FA"/>
    <w:rsid w:val="006C5C5D"/>
    <w:rsid w:val="00775AFE"/>
    <w:rsid w:val="007B7EFE"/>
    <w:rsid w:val="00833A46"/>
    <w:rsid w:val="00970E36"/>
    <w:rsid w:val="00B5646F"/>
    <w:rsid w:val="00B6512C"/>
    <w:rsid w:val="00B66472"/>
    <w:rsid w:val="00BB60F2"/>
    <w:rsid w:val="00C9640B"/>
    <w:rsid w:val="00DE67E7"/>
    <w:rsid w:val="00DF64C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57DFE-05BF-403F-99EB-E302F015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paragraph" w:styleId="Odstavekseznama">
    <w:name w:val="List Paragraph"/>
    <w:basedOn w:val="Navaden"/>
    <w:link w:val="OdstavekseznamaZnak"/>
    <w:uiPriority w:val="34"/>
    <w:qFormat/>
    <w:rsid w:val="00B66472"/>
    <w:pPr>
      <w:ind w:left="720"/>
      <w:contextualSpacing/>
    </w:pPr>
  </w:style>
  <w:style w:type="character" w:customStyle="1" w:styleId="OdstavekseznamaZnak">
    <w:name w:val="Odstavek seznama Znak"/>
    <w:link w:val="Odstavekseznama"/>
    <w:uiPriority w:val="34"/>
    <w:rsid w:val="00B66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8046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2096</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Elvir Beganovic</dc:creator>
  <cp:lastModifiedBy>Windows User</cp:lastModifiedBy>
  <cp:revision>2</cp:revision>
  <dcterms:created xsi:type="dcterms:W3CDTF">2020-09-29T13:46:00Z</dcterms:created>
  <dcterms:modified xsi:type="dcterms:W3CDTF">2020-09-29T13:46:00Z</dcterms:modified>
</cp:coreProperties>
</file>